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ee844bd2de5748378d1961f45a45ee486380df"/>
    <w:p>
      <w:pPr>
        <w:pStyle w:val="Heading1"/>
      </w:pPr>
      <w:r>
        <w:t xml:space="preserve">ПОЛИТИКА ИСПОЛЬЗОВАНИЯ ИСКУССТВЕННОГО ИНТЕЛЛЕКТА В MEDDIGITAL</w:t>
      </w:r>
    </w:p>
    <w:p>
      <w:pPr>
        <w:pStyle w:val="FirstParagraph"/>
      </w:pPr>
      <w:r>
        <w:rPr>
          <w:b/>
          <w:bCs/>
        </w:rPr>
        <w:t xml:space="preserve">Версия:</w:t>
      </w:r>
      <w:r>
        <w:t xml:space="preserve"> </w:t>
      </w:r>
      <w:r>
        <w:t xml:space="preserve">1.0</w:t>
      </w:r>
      <w:r>
        <w:br/>
      </w:r>
      <w:r>
        <w:rPr>
          <w:b/>
          <w:bCs/>
        </w:rPr>
        <w:t xml:space="preserve">Дата вступления в силу:</w:t>
      </w:r>
      <w:r>
        <w:t xml:space="preserve"> </w:t>
      </w:r>
      <w:r>
        <w:t xml:space="preserve">[дата]</w:t>
      </w:r>
      <w:r>
        <w:br/>
      </w:r>
      <w:r>
        <w:rPr>
          <w:b/>
          <w:bCs/>
        </w:rPr>
        <w:t xml:space="preserve">Оператор платформы:</w:t>
      </w:r>
      <w:r>
        <w:t xml:space="preserve"> </w:t>
      </w:r>
      <w:r>
        <w:t xml:space="preserve">[наименование / ИП / реквизиты]</w:t>
      </w:r>
    </w:p>
    <w:bookmarkStart w:id="9" w:name="назначение-политики"/>
    <w:p>
      <w:pPr>
        <w:pStyle w:val="Heading2"/>
      </w:pPr>
      <w:r>
        <w:t xml:space="preserve">1. Назначение политики</w:t>
      </w:r>
    </w:p>
    <w:p>
      <w:pPr>
        <w:pStyle w:val="FirstParagraph"/>
      </w:pPr>
      <w:r>
        <w:t xml:space="preserve">Настоящая Политика определяет правила безопасного и ответственного использования технологий искусственного интеллекта в платформе MedDigital.</w:t>
      </w:r>
    </w:p>
    <w:p>
      <w:pPr>
        <w:pStyle w:val="BodyText"/>
      </w:pPr>
      <w:r>
        <w:t xml:space="preserve">Цель Политики — обеспечить возможность применения искусственного интеллекта в профессиональной работе при контроле рисков, связанных с персональными данными, конфиденциальной информацией, коммерческой тайной, лицензированными аналитическими данными и иными сведениями ограниченного доступа.</w:t>
      </w:r>
    </w:p>
    <w:p>
      <w:pPr>
        <w:pStyle w:val="BodyText"/>
      </w:pPr>
      <w:r>
        <w:t xml:space="preserve">Политика является дополнением к Политике обработки персональных данных, пользовательскому соглашению, условиям использования платформы и иным применимым документам MedDigital.</w:t>
      </w:r>
    </w:p>
    <w:bookmarkEnd w:id="9"/>
    <w:bookmarkStart w:id="10" w:name="основные-принципы"/>
    <w:p>
      <w:pPr>
        <w:pStyle w:val="Heading2"/>
      </w:pPr>
      <w:r>
        <w:t xml:space="preserve">2. Основные принципы</w:t>
      </w:r>
    </w:p>
    <w:p>
      <w:pPr>
        <w:pStyle w:val="FirstParagraph"/>
      </w:pPr>
      <w:r>
        <w:t xml:space="preserve">MedDigital исходит из следующих принципов использования искусственного интеллекта:</w:t>
      </w:r>
    </w:p>
    <w:p>
      <w:pPr>
        <w:pStyle w:val="Compact"/>
        <w:numPr>
          <w:ilvl w:val="0"/>
          <w:numId w:val="1001"/>
        </w:numPr>
      </w:pPr>
      <w:r>
        <w:t xml:space="preserve">минимизация объёма данных, передаваемых моделям искусственного интеллекта;</w:t>
      </w:r>
    </w:p>
    <w:p>
      <w:pPr>
        <w:pStyle w:val="Compact"/>
        <w:numPr>
          <w:ilvl w:val="0"/>
          <w:numId w:val="1001"/>
        </w:numPr>
      </w:pPr>
      <w:r>
        <w:t xml:space="preserve">разделение исходных данных и результатов аналитической обработки;</w:t>
      </w:r>
    </w:p>
    <w:p>
      <w:pPr>
        <w:pStyle w:val="Compact"/>
        <w:numPr>
          <w:ilvl w:val="0"/>
          <w:numId w:val="1001"/>
        </w:numPr>
      </w:pPr>
      <w:r>
        <w:t xml:space="preserve">предварительное выявление и защита персональных и чувствительных данных в предусмотренных платформой сценариях;</w:t>
      </w:r>
    </w:p>
    <w:p>
      <w:pPr>
        <w:pStyle w:val="Compact"/>
        <w:numPr>
          <w:ilvl w:val="0"/>
          <w:numId w:val="1001"/>
        </w:numPr>
      </w:pPr>
      <w:r>
        <w:t xml:space="preserve">ограничение передачи исходных лицензированных массивов данных непосредственно моделям искусственного интеллекта;</w:t>
      </w:r>
    </w:p>
    <w:p>
      <w:pPr>
        <w:pStyle w:val="Compact"/>
        <w:numPr>
          <w:ilvl w:val="0"/>
          <w:numId w:val="1001"/>
        </w:numPr>
      </w:pPr>
      <w:r>
        <w:t xml:space="preserve">применение разных режимов обработки в зависимости от категории и чувствительности информации;</w:t>
      </w:r>
    </w:p>
    <w:p>
      <w:pPr>
        <w:pStyle w:val="Compact"/>
        <w:numPr>
          <w:ilvl w:val="0"/>
          <w:numId w:val="1001"/>
        </w:numPr>
      </w:pPr>
      <w:r>
        <w:t xml:space="preserve">журналирование технических событий безопасности без необходимости сохранения полного текста пользовательских запросов в журналах безопасности;</w:t>
      </w:r>
    </w:p>
    <w:p>
      <w:pPr>
        <w:pStyle w:val="Compact"/>
        <w:numPr>
          <w:ilvl w:val="0"/>
          <w:numId w:val="1001"/>
        </w:numPr>
      </w:pPr>
      <w:r>
        <w:t xml:space="preserve">блокирование обработки в случаях, когда безопасное выполнение соответствующего запроса технически невозможно;</w:t>
      </w:r>
    </w:p>
    <w:p>
      <w:pPr>
        <w:pStyle w:val="Compact"/>
        <w:numPr>
          <w:ilvl w:val="0"/>
          <w:numId w:val="1001"/>
        </w:numPr>
      </w:pPr>
      <w:r>
        <w:t xml:space="preserve">сохранение за пользователем обязанности проверять достоверность и применимость результатов, созданных ИИ.</w:t>
      </w:r>
    </w:p>
    <w:bookmarkEnd w:id="10"/>
    <w:bookmarkStart w:id="11" w:name="категории-информации"/>
    <w:p>
      <w:pPr>
        <w:pStyle w:val="Heading2"/>
      </w:pPr>
      <w:r>
        <w:t xml:space="preserve">3. Категории информации</w:t>
      </w:r>
    </w:p>
    <w:p>
      <w:pPr>
        <w:pStyle w:val="FirstParagraph"/>
      </w:pPr>
      <w:r>
        <w:t xml:space="preserve">Для целей применения настоящей Политики информация может относиться к следующим категориям.</w:t>
      </w:r>
    </w:p>
    <w:p>
      <w:pPr>
        <w:pStyle w:val="BodyText"/>
      </w:pPr>
      <w:r>
        <w:rPr>
          <w:b/>
          <w:bCs/>
        </w:rPr>
        <w:t xml:space="preserve">Публичная информация</w:t>
      </w:r>
      <w:r>
        <w:t xml:space="preserve"> </w:t>
      </w:r>
      <w:r>
        <w:t xml:space="preserve">— сведения, свободное распространение которых допускается законодательством, договором и их владельцем.</w:t>
      </w:r>
    </w:p>
    <w:p>
      <w:pPr>
        <w:pStyle w:val="BodyText"/>
      </w:pPr>
      <w:r>
        <w:rPr>
          <w:b/>
          <w:bCs/>
        </w:rPr>
        <w:t xml:space="preserve">Внутренняя информация</w:t>
      </w:r>
      <w:r>
        <w:t xml:space="preserve"> </w:t>
      </w:r>
      <w:r>
        <w:t xml:space="preserve">— рабочие материалы организации, не предназначенные для свободного распространения, но не отнесённые к персональным данным, коммерческой тайне или иной охраняемой законом информации.</w:t>
      </w:r>
    </w:p>
    <w:p>
      <w:pPr>
        <w:pStyle w:val="BodyText"/>
      </w:pPr>
      <w:r>
        <w:rPr>
          <w:b/>
          <w:bCs/>
        </w:rPr>
        <w:t xml:space="preserve">Персональные данные</w:t>
      </w:r>
      <w:r>
        <w:t xml:space="preserve"> </w:t>
      </w:r>
      <w:r>
        <w:t xml:space="preserve">— информация, относящаяся прямо или косвенно к определённому или определяемому физическому лицу.</w:t>
      </w:r>
    </w:p>
    <w:p>
      <w:pPr>
        <w:pStyle w:val="BodyText"/>
      </w:pPr>
      <w:r>
        <w:rPr>
          <w:b/>
          <w:bCs/>
        </w:rPr>
        <w:t xml:space="preserve">Конфиденциальная информация</w:t>
      </w:r>
      <w:r>
        <w:t xml:space="preserve"> </w:t>
      </w:r>
      <w:r>
        <w:t xml:space="preserve">— сведения, доступ к которым ограничен законодательством, договором, NDA, локальными актами организации или решением их владельца.</w:t>
      </w:r>
    </w:p>
    <w:p>
      <w:pPr>
        <w:pStyle w:val="BodyText"/>
      </w:pPr>
      <w:r>
        <w:rPr>
          <w:b/>
          <w:bCs/>
        </w:rPr>
        <w:t xml:space="preserve">Лицензированные данные</w:t>
      </w:r>
      <w:r>
        <w:t xml:space="preserve"> </w:t>
      </w:r>
      <w:r>
        <w:t xml:space="preserve">— информационные массивы, базы данных, отчёты и иные сведения, использование которых регулируется лицензионными или иными договорными условиями. К ним могут относиться, в частности, данные IQVIA, DSM, МДЛП и иные специализированные профессиональные источники в зависимости от условий доступа к ним.</w:t>
      </w:r>
    </w:p>
    <w:p>
      <w:pPr>
        <w:pStyle w:val="BodyText"/>
      </w:pPr>
      <w:r>
        <w:rPr>
          <w:b/>
          <w:bCs/>
        </w:rPr>
        <w:t xml:space="preserve">Специальные категории данных</w:t>
      </w:r>
      <w:r>
        <w:t xml:space="preserve"> </w:t>
      </w:r>
      <w:r>
        <w:t xml:space="preserve">— в том числе сведения о состоянии здоровья и иные данные, для которых законодательством установлен специальный режим обработки.</w:t>
      </w:r>
    </w:p>
    <w:bookmarkEnd w:id="11"/>
    <w:bookmarkStart w:id="12" w:name="X565789ffccf974eb86a9c699a1f65b29b09e795"/>
    <w:p>
      <w:pPr>
        <w:pStyle w:val="Heading2"/>
      </w:pPr>
      <w:r>
        <w:t xml:space="preserve">4. Как MedDigital использует искусственный интеллект</w:t>
      </w:r>
    </w:p>
    <w:p>
      <w:pPr>
        <w:pStyle w:val="FirstParagraph"/>
      </w:pPr>
      <w:r>
        <w:t xml:space="preserve">В зависимости от выбранного инструмента и категории информации платформа может использовать различные способы обработки.</w:t>
      </w:r>
    </w:p>
    <w:p>
      <w:pPr>
        <w:pStyle w:val="BodyText"/>
      </w:pPr>
      <w:r>
        <w:t xml:space="preserve">В аналитических модулях исходные массивы данных могут обрабатываться серверными алгоритмами, SQL-запросами, статистическими и иными детерминированными методами. В таком случае искусственному интеллекту может передаваться не исходный массив, а сформированные системой агрегированные показатели, сводки или аналитические результаты.</w:t>
      </w:r>
    </w:p>
    <w:p>
      <w:pPr>
        <w:pStyle w:val="BodyText"/>
      </w:pPr>
      <w:r>
        <w:t xml:space="preserve">В свободных диалоговых сценариях пользовательские запросы и допустимое содержимое приложенных документов могут передаваться модели искусственного интеллекта для генерации ответа.</w:t>
      </w:r>
    </w:p>
    <w:p>
      <w:pPr>
        <w:pStyle w:val="BodyText"/>
      </w:pPr>
      <w:r>
        <w:t xml:space="preserve">Для предусмотренных платформой категорий чувствительной информации могут применяться механизмы классификации, маскирования, псевдонимизации, удаления идентификаторов, ограничения маршрута обработки либо блокирования запроса.</w:t>
      </w:r>
    </w:p>
    <w:bookmarkEnd w:id="12"/>
    <w:bookmarkStart w:id="13" w:name="персональные-данные"/>
    <w:p>
      <w:pPr>
        <w:pStyle w:val="Heading2"/>
      </w:pPr>
      <w:r>
        <w:t xml:space="preserve">5. Персональные данные</w:t>
      </w:r>
    </w:p>
    <w:p>
      <w:pPr>
        <w:pStyle w:val="FirstParagraph"/>
      </w:pPr>
      <w:r>
        <w:t xml:space="preserve">Пользователь не должен передавать в MedDigital персональные данные третьих лиц, если у него отсутствуют необходимые правовые основания для такой обработки.</w:t>
      </w:r>
    </w:p>
    <w:p>
      <w:pPr>
        <w:pStyle w:val="BodyText"/>
      </w:pPr>
      <w:r>
        <w:t xml:space="preserve">При использовании функций, предусматривающих передачу информации модели искусственного интеллекта, пользователь должен по возможности исключать из запроса сведения, позволяющие прямо идентифицировать физическое лицо, если такие сведения не являются необходимыми для выполнения задачи.</w:t>
      </w:r>
    </w:p>
    <w:p>
      <w:pPr>
        <w:pStyle w:val="BodyText"/>
      </w:pPr>
      <w:r>
        <w:t xml:space="preserve">В предусмотренных платформой защищённых сценариях MedDigital может заменять отдельные идентификаторы техническими обозначениями до обращения к модели.</w:t>
      </w:r>
    </w:p>
    <w:p>
      <w:pPr>
        <w:pStyle w:val="BodyText"/>
      </w:pPr>
      <w:r>
        <w:t xml:space="preserve">Применение технической маскировки или псевдонимизации не освобождает организацию-пользователя от исполнения обязанностей оператора персональных данных.</w:t>
      </w:r>
    </w:p>
    <w:bookmarkEnd w:id="13"/>
    <w:bookmarkStart w:id="14" w:name="Xc896409652139ceb78baf8e37d42e0d52e79148"/>
    <w:p>
      <w:pPr>
        <w:pStyle w:val="Heading2"/>
      </w:pPr>
      <w:r>
        <w:t xml:space="preserve">6. Конфиденциальная информация и коммерческая тайна</w:t>
      </w:r>
    </w:p>
    <w:p>
      <w:pPr>
        <w:pStyle w:val="FirstParagraph"/>
      </w:pPr>
      <w:r>
        <w:t xml:space="preserve">Пользователь вправе передавать конфиденциальные сведения в платформу только в пределах полномочий, предоставленных ему владельцем такой информации.</w:t>
      </w:r>
    </w:p>
    <w:p>
      <w:pPr>
        <w:pStyle w:val="BodyText"/>
      </w:pPr>
      <w:r>
        <w:t xml:space="preserve">Передача информации в MedDigital не отменяет:</w:t>
      </w:r>
    </w:p>
    <w:p>
      <w:pPr>
        <w:pStyle w:val="Compact"/>
        <w:numPr>
          <w:ilvl w:val="0"/>
          <w:numId w:val="1002"/>
        </w:numPr>
      </w:pPr>
      <w:r>
        <w:t xml:space="preserve">режима коммерческой тайны;</w:t>
      </w:r>
    </w:p>
    <w:p>
      <w:pPr>
        <w:pStyle w:val="Compact"/>
        <w:numPr>
          <w:ilvl w:val="0"/>
          <w:numId w:val="1002"/>
        </w:numPr>
      </w:pPr>
      <w:r>
        <w:t xml:space="preserve">обязательств по NDA;</w:t>
      </w:r>
    </w:p>
    <w:p>
      <w:pPr>
        <w:pStyle w:val="Compact"/>
        <w:numPr>
          <w:ilvl w:val="0"/>
          <w:numId w:val="1002"/>
        </w:numPr>
      </w:pPr>
      <w:r>
        <w:t xml:space="preserve">требований внутренних политик работодателя;</w:t>
      </w:r>
    </w:p>
    <w:p>
      <w:pPr>
        <w:pStyle w:val="Compact"/>
        <w:numPr>
          <w:ilvl w:val="0"/>
          <w:numId w:val="1002"/>
        </w:numPr>
      </w:pPr>
      <w:r>
        <w:t xml:space="preserve">договорных ограничений клиента или контрагента.</w:t>
      </w:r>
    </w:p>
    <w:p>
      <w:pPr>
        <w:pStyle w:val="FirstParagraph"/>
      </w:pPr>
      <w:r>
        <w:t xml:space="preserve">Пользователь обязан убедиться, что использование соответствующих данных в автоматизированной обработке допускается условиями договора и внутренними правилами его организации.</w:t>
      </w:r>
    </w:p>
    <w:bookmarkEnd w:id="14"/>
    <w:bookmarkStart w:id="15" w:name="лицензированные-аналитические-данные"/>
    <w:p>
      <w:pPr>
        <w:pStyle w:val="Heading2"/>
      </w:pPr>
      <w:r>
        <w:t xml:space="preserve">7. Лицензированные аналитические данные</w:t>
      </w:r>
    </w:p>
    <w:p>
      <w:pPr>
        <w:pStyle w:val="FirstParagraph"/>
      </w:pPr>
      <w:r>
        <w:t xml:space="preserve">Исходные массивы лицензированных профессиональных данных не должны передаваться пользователем непосредственно в свободный AI-чат, если условия лицензии или договора не разрешают такую передачу.</w:t>
      </w:r>
    </w:p>
    <w:p>
      <w:pPr>
        <w:pStyle w:val="BodyText"/>
      </w:pPr>
      <w:r>
        <w:t xml:space="preserve">Для анализа таких массивов следует использовать специально предусмотренные аналитические инструменты MedDigital, в которых исходные данные могут обрабатываться программными средствами и преобразовываться в агрегированные результаты до обращения к модели искусственного интеллекта.</w:t>
      </w:r>
    </w:p>
    <w:p>
      <w:pPr>
        <w:pStyle w:val="BodyText"/>
      </w:pPr>
      <w:r>
        <w:t xml:space="preserve">Сам факт обезличивания или удаления отдельных названий и идентификаторов не означает автоматически, что передача лицензированного массива третьей стороне разрешена договором.</w:t>
      </w:r>
    </w:p>
    <w:p>
      <w:pPr>
        <w:pStyle w:val="BodyText"/>
      </w:pPr>
      <w:r>
        <w:t xml:space="preserve">Ответственность за наличие права на загрузку, хранение и обработку конкретной лицензированной базы несёт организация или лицо, предоставившее соответствующие данные в MedDigital.</w:t>
      </w:r>
    </w:p>
    <w:bookmarkEnd w:id="15"/>
    <w:bookmarkStart w:id="16" w:name="что-запрещается"/>
    <w:p>
      <w:pPr>
        <w:pStyle w:val="Heading2"/>
      </w:pPr>
      <w:r>
        <w:t xml:space="preserve">8. Что запрещается</w:t>
      </w:r>
    </w:p>
    <w:p>
      <w:pPr>
        <w:pStyle w:val="FirstParagraph"/>
      </w:pPr>
      <w:r>
        <w:t xml:space="preserve">В MedDigital запрещается намеренно:</w:t>
      </w:r>
    </w:p>
    <w:p>
      <w:pPr>
        <w:pStyle w:val="Compact"/>
        <w:numPr>
          <w:ilvl w:val="0"/>
          <w:numId w:val="1003"/>
        </w:numPr>
      </w:pPr>
      <w:r>
        <w:t xml:space="preserve">передавать сведения, составляющие государственную тайну;</w:t>
      </w:r>
    </w:p>
    <w:p>
      <w:pPr>
        <w:pStyle w:val="Compact"/>
        <w:numPr>
          <w:ilvl w:val="0"/>
          <w:numId w:val="1003"/>
        </w:numPr>
      </w:pPr>
      <w:r>
        <w:t xml:space="preserve">передавать сведения, доступ к которым пользователь не имеет права предоставлять для такой обработки;</w:t>
      </w:r>
    </w:p>
    <w:p>
      <w:pPr>
        <w:pStyle w:val="Compact"/>
        <w:numPr>
          <w:ilvl w:val="0"/>
          <w:numId w:val="1003"/>
        </w:numPr>
      </w:pPr>
      <w:r>
        <w:t xml:space="preserve">обходить технические механизмы классификации, блокировки, обезличивания или маршрутизации данных;</w:t>
      </w:r>
    </w:p>
    <w:p>
      <w:pPr>
        <w:pStyle w:val="Compact"/>
        <w:numPr>
          <w:ilvl w:val="0"/>
          <w:numId w:val="1003"/>
        </w:numPr>
      </w:pPr>
      <w:r>
        <w:t xml:space="preserve">использовать чужие персональные данные без соответствующего правового основания;</w:t>
      </w:r>
    </w:p>
    <w:p>
      <w:pPr>
        <w:pStyle w:val="Compact"/>
        <w:numPr>
          <w:ilvl w:val="0"/>
          <w:numId w:val="1003"/>
        </w:numPr>
      </w:pPr>
      <w:r>
        <w:t xml:space="preserve">загружать исходные лицензированные базы в свободный AI-чат в обход предназначенного для них аналитического контура;</w:t>
      </w:r>
    </w:p>
    <w:p>
      <w:pPr>
        <w:pStyle w:val="Compact"/>
        <w:numPr>
          <w:ilvl w:val="0"/>
          <w:numId w:val="1003"/>
        </w:numPr>
      </w:pPr>
      <w:r>
        <w:t xml:space="preserve">использовать платформу для незаконной обработки информации;</w:t>
      </w:r>
    </w:p>
    <w:p>
      <w:pPr>
        <w:pStyle w:val="Compact"/>
        <w:numPr>
          <w:ilvl w:val="0"/>
          <w:numId w:val="1003"/>
        </w:numPr>
      </w:pPr>
      <w:r>
        <w:t xml:space="preserve">выдавать сгенерированный ИИ результат за проверенный профессиональный вывод, если такая проверка необходима по характеру задачи.</w:t>
      </w:r>
    </w:p>
    <w:bookmarkEnd w:id="16"/>
    <w:bookmarkStart w:id="17" w:name="Xd0637247ab388468b74a89b0e7587d544dae6ab"/>
    <w:p>
      <w:pPr>
        <w:pStyle w:val="Heading2"/>
      </w:pPr>
      <w:r>
        <w:t xml:space="preserve">9. Ограничения результатов искусственного интеллекта</w:t>
      </w:r>
    </w:p>
    <w:p>
      <w:pPr>
        <w:pStyle w:val="FirstParagraph"/>
      </w:pPr>
      <w:r>
        <w:t xml:space="preserve">Результаты, сформированные моделями искусственного интеллекта:</w:t>
      </w:r>
    </w:p>
    <w:p>
      <w:pPr>
        <w:pStyle w:val="Compact"/>
        <w:numPr>
          <w:ilvl w:val="0"/>
          <w:numId w:val="1004"/>
        </w:numPr>
      </w:pPr>
      <w:r>
        <w:t xml:space="preserve">могут содержать фактические ошибки;</w:t>
      </w:r>
    </w:p>
    <w:p>
      <w:pPr>
        <w:pStyle w:val="Compact"/>
        <w:numPr>
          <w:ilvl w:val="0"/>
          <w:numId w:val="1004"/>
        </w:numPr>
      </w:pPr>
      <w:r>
        <w:t xml:space="preserve">могут неправильно интерпретировать исходные данные;</w:t>
      </w:r>
    </w:p>
    <w:p>
      <w:pPr>
        <w:pStyle w:val="Compact"/>
        <w:numPr>
          <w:ilvl w:val="0"/>
          <w:numId w:val="1004"/>
        </w:numPr>
      </w:pPr>
      <w:r>
        <w:t xml:space="preserve">не являются автоматически юридическим, медицинским, финансовым или иным профессиональным заключением;</w:t>
      </w:r>
    </w:p>
    <w:p>
      <w:pPr>
        <w:pStyle w:val="Compact"/>
        <w:numPr>
          <w:ilvl w:val="0"/>
          <w:numId w:val="1004"/>
        </w:numPr>
      </w:pPr>
      <w:r>
        <w:t xml:space="preserve">требуют проверки пользователем перед использованием в решениях, документах и коммуникациях.</w:t>
      </w:r>
    </w:p>
    <w:p>
      <w:pPr>
        <w:pStyle w:val="FirstParagraph"/>
      </w:pPr>
      <w:r>
        <w:t xml:space="preserve">При работе с фармацевтической, медицинской и иной регулируемой информацией окончательное решение должно приниматься уполномоченным специалистом или организацией.</w:t>
      </w:r>
    </w:p>
    <w:bookmarkEnd w:id="17"/>
    <w:bookmarkStart w:id="18" w:name="ответственность-пользователя"/>
    <w:p>
      <w:pPr>
        <w:pStyle w:val="Heading2"/>
      </w:pPr>
      <w:r>
        <w:t xml:space="preserve">10. Ответственность пользователя</w:t>
      </w:r>
    </w:p>
    <w:p>
      <w:pPr>
        <w:pStyle w:val="FirstParagraph"/>
      </w:pPr>
      <w:r>
        <w:t xml:space="preserve">Пользователь отвечает за:</w:t>
      </w:r>
    </w:p>
    <w:p>
      <w:pPr>
        <w:pStyle w:val="Compact"/>
        <w:numPr>
          <w:ilvl w:val="0"/>
          <w:numId w:val="1005"/>
        </w:numPr>
      </w:pPr>
      <w:r>
        <w:t xml:space="preserve">законность получения и использования передаваемых им данных;</w:t>
      </w:r>
    </w:p>
    <w:p>
      <w:pPr>
        <w:pStyle w:val="Compact"/>
        <w:numPr>
          <w:ilvl w:val="0"/>
          <w:numId w:val="1005"/>
        </w:numPr>
      </w:pPr>
      <w:r>
        <w:t xml:space="preserve">наличие необходимых согласий, полномочий и договорных прав;</w:t>
      </w:r>
    </w:p>
    <w:p>
      <w:pPr>
        <w:pStyle w:val="Compact"/>
        <w:numPr>
          <w:ilvl w:val="0"/>
          <w:numId w:val="1005"/>
        </w:numPr>
      </w:pPr>
      <w:r>
        <w:t xml:space="preserve">соблюдение NDA, лицензионных договоров и внутренних политик работодателя;</w:t>
      </w:r>
    </w:p>
    <w:p>
      <w:pPr>
        <w:pStyle w:val="Compact"/>
        <w:numPr>
          <w:ilvl w:val="0"/>
          <w:numId w:val="1005"/>
        </w:numPr>
      </w:pPr>
      <w:r>
        <w:t xml:space="preserve">проверку результатов, сформированных ИИ;</w:t>
      </w:r>
    </w:p>
    <w:p>
      <w:pPr>
        <w:pStyle w:val="Compact"/>
        <w:numPr>
          <w:ilvl w:val="0"/>
          <w:numId w:val="1005"/>
        </w:numPr>
      </w:pPr>
      <w:r>
        <w:t xml:space="preserve">недопущение обхода механизмов безопасности платформы.</w:t>
      </w:r>
    </w:p>
    <w:p>
      <w:pPr>
        <w:pStyle w:val="FirstParagraph"/>
      </w:pPr>
      <w:r>
        <w:t xml:space="preserve">MedDigital вправе ограничить обработку или заблокировать запрос, если система определяет его как несовместимый с установленной политикой безопасности.</w:t>
      </w:r>
    </w:p>
    <w:bookmarkEnd w:id="18"/>
    <w:bookmarkStart w:id="19" w:name="корпоративные-пользователи"/>
    <w:p>
      <w:pPr>
        <w:pStyle w:val="Heading2"/>
      </w:pPr>
      <w:r>
        <w:t xml:space="preserve">11. Корпоративные пользователи</w:t>
      </w:r>
    </w:p>
    <w:p>
      <w:pPr>
        <w:pStyle w:val="FirstParagraph"/>
      </w:pPr>
      <w:r>
        <w:t xml:space="preserve">Организация, предоставляющая своим сотрудникам доступ к MedDigital, должна самостоятельно определить:</w:t>
      </w:r>
    </w:p>
    <w:p>
      <w:pPr>
        <w:pStyle w:val="Compact"/>
        <w:numPr>
          <w:ilvl w:val="0"/>
          <w:numId w:val="1006"/>
        </w:numPr>
      </w:pPr>
      <w:r>
        <w:t xml:space="preserve">перечень разрешённых сценариев использования ИИ;</w:t>
      </w:r>
    </w:p>
    <w:p>
      <w:pPr>
        <w:pStyle w:val="Compact"/>
        <w:numPr>
          <w:ilvl w:val="0"/>
          <w:numId w:val="1006"/>
        </w:numPr>
      </w:pPr>
      <w:r>
        <w:t xml:space="preserve">категории информации, которые сотрудники вправе обрабатывать;</w:t>
      </w:r>
    </w:p>
    <w:p>
      <w:pPr>
        <w:pStyle w:val="Compact"/>
        <w:numPr>
          <w:ilvl w:val="0"/>
          <w:numId w:val="1006"/>
        </w:numPr>
      </w:pPr>
      <w:r>
        <w:t xml:space="preserve">перечень лиц, имеющих доступ к соответствующим данным;</w:t>
      </w:r>
    </w:p>
    <w:p>
      <w:pPr>
        <w:pStyle w:val="Compact"/>
        <w:numPr>
          <w:ilvl w:val="0"/>
          <w:numId w:val="1006"/>
        </w:numPr>
      </w:pPr>
      <w:r>
        <w:t xml:space="preserve">правила работы с персональными и конфиденциальными сведениями;</w:t>
      </w:r>
    </w:p>
    <w:p>
      <w:pPr>
        <w:pStyle w:val="Compact"/>
        <w:numPr>
          <w:ilvl w:val="0"/>
          <w:numId w:val="1006"/>
        </w:numPr>
      </w:pPr>
      <w:r>
        <w:t xml:space="preserve">допустимые источники лицензированных данных;</w:t>
      </w:r>
    </w:p>
    <w:p>
      <w:pPr>
        <w:pStyle w:val="Compact"/>
        <w:numPr>
          <w:ilvl w:val="0"/>
          <w:numId w:val="1006"/>
        </w:numPr>
      </w:pPr>
      <w:r>
        <w:t xml:space="preserve">порядок расследования инцидентов.</w:t>
      </w:r>
    </w:p>
    <w:p>
      <w:pPr>
        <w:pStyle w:val="FirstParagraph"/>
      </w:pPr>
      <w:r>
        <w:t xml:space="preserve">MedDigital может использоваться как технический элемент такого корпоративного контура, но не заменяет внутренние организационно-правовые меры компании.</w:t>
      </w:r>
    </w:p>
    <w:bookmarkEnd w:id="19"/>
    <w:bookmarkStart w:id="20" w:name="инциденты"/>
    <w:p>
      <w:pPr>
        <w:pStyle w:val="Heading2"/>
      </w:pPr>
      <w:r>
        <w:t xml:space="preserve">12. Инциденты</w:t>
      </w:r>
    </w:p>
    <w:p>
      <w:pPr>
        <w:pStyle w:val="FirstParagraph"/>
      </w:pPr>
      <w:r>
        <w:t xml:space="preserve">Если пользователь считает, что в платформу ошибочно были переданы персональные, конфиденциальные или иные сведения ограниченного доступа, он должен незамедлительно прекратить дальнейшую обработку и уведомить:</w:t>
      </w:r>
    </w:p>
    <w:p>
      <w:pPr>
        <w:pStyle w:val="BodyText"/>
      </w:pPr>
      <w:r>
        <w:rPr>
          <w:b/>
          <w:bCs/>
        </w:rPr>
        <w:t xml:space="preserve">[контакт по вопросам информационной безопасности / privacy@…]</w:t>
      </w:r>
    </w:p>
    <w:p>
      <w:pPr>
        <w:pStyle w:val="BodyText"/>
      </w:pPr>
      <w:r>
        <w:t xml:space="preserve">MedDigital вправе проводить техническое расследование события в объёме, необходимом для обеспечения безопасности и исполнения требований законодательства.</w:t>
      </w:r>
    </w:p>
    <w:bookmarkEnd w:id="20"/>
    <w:bookmarkStart w:id="21" w:name="изменение-политики"/>
    <w:p>
      <w:pPr>
        <w:pStyle w:val="Heading2"/>
      </w:pPr>
      <w:r>
        <w:t xml:space="preserve">13. Изменение политики</w:t>
      </w:r>
    </w:p>
    <w:p>
      <w:pPr>
        <w:pStyle w:val="FirstParagraph"/>
      </w:pPr>
      <w:r>
        <w:t xml:space="preserve">Политика может изменяться с учётом развития законодательства, технологий искусственного интеллекта, архитектуры MedDigital и применяемых мер защиты.</w:t>
      </w:r>
    </w:p>
    <w:p>
      <w:pPr>
        <w:pStyle w:val="BodyText"/>
      </w:pPr>
      <w:r>
        <w:t xml:space="preserve">Актуальная версия публикуется на платформе MedDigital.</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